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0E828" w14:textId="22027C23" w:rsidR="000C61E1" w:rsidRPr="00A450E6" w:rsidRDefault="000C61E1" w:rsidP="002F1722">
      <w:pPr>
        <w:spacing w:line="360" w:lineRule="auto"/>
        <w:jc w:val="both"/>
        <w:rPr>
          <w:rFonts w:ascii="Arial" w:hAnsi="Arial" w:cs="Arial"/>
          <w:b/>
          <w:sz w:val="24"/>
          <w:szCs w:val="24"/>
        </w:rPr>
      </w:pPr>
      <w:r w:rsidRPr="00A450E6">
        <w:rPr>
          <w:rFonts w:ascii="Arial" w:hAnsi="Arial" w:cs="Arial"/>
          <w:b/>
          <w:sz w:val="24"/>
          <w:szCs w:val="24"/>
        </w:rPr>
        <w:t>INICIATIVA CON PROYECTO DE DECRETO POR EL QUE SE</w:t>
      </w:r>
      <w:r w:rsidR="00A450E6">
        <w:rPr>
          <w:rFonts w:ascii="Arial" w:hAnsi="Arial" w:cs="Arial"/>
          <w:b/>
          <w:sz w:val="24"/>
          <w:szCs w:val="24"/>
        </w:rPr>
        <w:t xml:space="preserve"> REFORMA </w:t>
      </w:r>
      <w:r w:rsidR="008D58E7">
        <w:rPr>
          <w:rFonts w:ascii="Arial" w:hAnsi="Arial" w:cs="Arial"/>
          <w:b/>
          <w:sz w:val="24"/>
          <w:szCs w:val="24"/>
        </w:rPr>
        <w:t xml:space="preserve">EL ARTÍCULO 12 </w:t>
      </w:r>
      <w:r w:rsidR="00A450E6">
        <w:rPr>
          <w:rFonts w:ascii="Arial" w:hAnsi="Arial" w:cs="Arial"/>
          <w:b/>
          <w:sz w:val="24"/>
          <w:szCs w:val="24"/>
        </w:rPr>
        <w:t xml:space="preserve">DE LA </w:t>
      </w:r>
      <w:r w:rsidRPr="00A450E6">
        <w:rPr>
          <w:rFonts w:ascii="Arial" w:hAnsi="Arial" w:cs="Arial"/>
          <w:b/>
          <w:sz w:val="24"/>
          <w:szCs w:val="24"/>
        </w:rPr>
        <w:t>LEY DE INGRESOS DEL MUNICIPIO DE TEMAX, YUCATÁN, PARA EL EJERCI</w:t>
      </w:r>
      <w:bookmarkStart w:id="0" w:name="_GoBack"/>
      <w:bookmarkEnd w:id="0"/>
      <w:r w:rsidRPr="00A450E6">
        <w:rPr>
          <w:rFonts w:ascii="Arial" w:hAnsi="Arial" w:cs="Arial"/>
          <w:b/>
          <w:sz w:val="24"/>
          <w:szCs w:val="24"/>
        </w:rPr>
        <w:t>CIO FISCAL 2022</w:t>
      </w:r>
      <w:r w:rsidR="00D372D6">
        <w:rPr>
          <w:rFonts w:ascii="Arial" w:hAnsi="Arial" w:cs="Arial"/>
          <w:b/>
          <w:sz w:val="24"/>
          <w:szCs w:val="24"/>
        </w:rPr>
        <w:t>,</w:t>
      </w:r>
      <w:r w:rsidRPr="00A450E6">
        <w:rPr>
          <w:rFonts w:ascii="Arial" w:hAnsi="Arial" w:cs="Arial"/>
          <w:b/>
          <w:sz w:val="24"/>
          <w:szCs w:val="24"/>
        </w:rPr>
        <w:t xml:space="preserve"> </w:t>
      </w:r>
      <w:r w:rsidR="008D58E7">
        <w:rPr>
          <w:rFonts w:ascii="Arial" w:hAnsi="Arial" w:cs="Arial"/>
          <w:b/>
          <w:sz w:val="24"/>
          <w:szCs w:val="24"/>
        </w:rPr>
        <w:t xml:space="preserve">PARA </w:t>
      </w:r>
      <w:r w:rsidRPr="00A450E6">
        <w:rPr>
          <w:rFonts w:ascii="Arial" w:hAnsi="Arial" w:cs="Arial"/>
          <w:b/>
          <w:sz w:val="24"/>
          <w:szCs w:val="24"/>
        </w:rPr>
        <w:t>ADICIONA</w:t>
      </w:r>
      <w:r w:rsidR="008D58E7">
        <w:rPr>
          <w:rFonts w:ascii="Arial" w:hAnsi="Arial" w:cs="Arial"/>
          <w:b/>
          <w:sz w:val="24"/>
          <w:szCs w:val="24"/>
        </w:rPr>
        <w:t>R</w:t>
      </w:r>
      <w:r w:rsidRPr="00A450E6">
        <w:rPr>
          <w:rFonts w:ascii="Arial" w:hAnsi="Arial" w:cs="Arial"/>
          <w:b/>
          <w:sz w:val="24"/>
          <w:szCs w:val="24"/>
        </w:rPr>
        <w:t xml:space="preserve"> LA TABLA DE INGRESOS ESTIMADOS.</w:t>
      </w:r>
    </w:p>
    <w:p w14:paraId="1F972578" w14:textId="77777777" w:rsidR="000C61E1" w:rsidRPr="00A450E6" w:rsidRDefault="000C61E1" w:rsidP="000C61E1">
      <w:pPr>
        <w:spacing w:line="360" w:lineRule="auto"/>
        <w:jc w:val="both"/>
        <w:rPr>
          <w:rFonts w:ascii="Arial" w:hAnsi="Arial" w:cs="Arial"/>
          <w:sz w:val="24"/>
          <w:szCs w:val="24"/>
        </w:rPr>
      </w:pPr>
    </w:p>
    <w:p w14:paraId="04852565" w14:textId="77777777" w:rsidR="000C61E1" w:rsidRPr="00A450E6" w:rsidRDefault="000C61E1" w:rsidP="000C61E1">
      <w:pPr>
        <w:spacing w:line="360" w:lineRule="auto"/>
        <w:jc w:val="center"/>
        <w:rPr>
          <w:rFonts w:ascii="Arial" w:hAnsi="Arial" w:cs="Arial"/>
          <w:b/>
          <w:sz w:val="24"/>
          <w:szCs w:val="24"/>
        </w:rPr>
      </w:pPr>
      <w:r w:rsidRPr="00A450E6">
        <w:rPr>
          <w:rFonts w:ascii="Arial" w:hAnsi="Arial" w:cs="Arial"/>
          <w:b/>
          <w:sz w:val="24"/>
          <w:szCs w:val="24"/>
        </w:rPr>
        <w:t>EXPOSICIÓN DE MOTIVOS</w:t>
      </w:r>
    </w:p>
    <w:p w14:paraId="02F83B08" w14:textId="77777777" w:rsidR="000C61E1" w:rsidRPr="00A450E6" w:rsidRDefault="000C61E1" w:rsidP="000C61E1">
      <w:pPr>
        <w:spacing w:line="360" w:lineRule="auto"/>
        <w:jc w:val="both"/>
        <w:rPr>
          <w:rFonts w:ascii="Arial" w:hAnsi="Arial" w:cs="Arial"/>
          <w:sz w:val="24"/>
          <w:szCs w:val="24"/>
        </w:rPr>
      </w:pPr>
    </w:p>
    <w:p w14:paraId="07FD633F" w14:textId="77777777" w:rsidR="00E82359" w:rsidRPr="00A450E6" w:rsidRDefault="00E82359" w:rsidP="00E82359">
      <w:pPr>
        <w:spacing w:line="360" w:lineRule="auto"/>
        <w:jc w:val="both"/>
        <w:rPr>
          <w:rFonts w:ascii="Arial" w:hAnsi="Arial" w:cs="Arial"/>
          <w:sz w:val="24"/>
          <w:szCs w:val="24"/>
        </w:rPr>
      </w:pPr>
      <w:r w:rsidRPr="00A450E6">
        <w:rPr>
          <w:rFonts w:ascii="Arial" w:hAnsi="Arial" w:cs="Arial"/>
          <w:b/>
          <w:sz w:val="24"/>
          <w:szCs w:val="24"/>
        </w:rPr>
        <w:t xml:space="preserve">Primero. </w:t>
      </w:r>
      <w:r w:rsidRPr="00A450E6">
        <w:rPr>
          <w:rFonts w:ascii="Arial" w:hAnsi="Arial" w:cs="Arial"/>
          <w:sz w:val="24"/>
          <w:szCs w:val="24"/>
        </w:rPr>
        <w:t>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w:t>
      </w:r>
    </w:p>
    <w:p w14:paraId="1ED52A5A" w14:textId="77777777" w:rsidR="00E82359" w:rsidRPr="00A450E6" w:rsidRDefault="00E82359" w:rsidP="00E82359">
      <w:pPr>
        <w:spacing w:line="360" w:lineRule="auto"/>
        <w:jc w:val="both"/>
        <w:rPr>
          <w:rFonts w:ascii="Arial" w:hAnsi="Arial" w:cs="Arial"/>
          <w:sz w:val="24"/>
          <w:szCs w:val="24"/>
        </w:rPr>
      </w:pPr>
    </w:p>
    <w:p w14:paraId="72C68D95" w14:textId="77777777" w:rsidR="00E82359" w:rsidRPr="00A450E6" w:rsidRDefault="00E82359" w:rsidP="00E82359">
      <w:pPr>
        <w:spacing w:line="360" w:lineRule="auto"/>
        <w:jc w:val="both"/>
        <w:rPr>
          <w:rFonts w:ascii="Arial" w:hAnsi="Arial" w:cs="Arial"/>
          <w:sz w:val="24"/>
          <w:szCs w:val="24"/>
        </w:rPr>
      </w:pPr>
      <w:r w:rsidRPr="00A450E6">
        <w:rPr>
          <w:rFonts w:ascii="Arial" w:hAnsi="Arial" w:cs="Arial"/>
          <w:b/>
          <w:sz w:val="24"/>
          <w:szCs w:val="24"/>
        </w:rPr>
        <w:t xml:space="preserve">Segundo. </w:t>
      </w:r>
      <w:r w:rsidRPr="00A450E6">
        <w:rPr>
          <w:rFonts w:ascii="Arial" w:hAnsi="Arial" w:cs="Arial"/>
          <w:sz w:val="24"/>
          <w:szCs w:val="24"/>
        </w:rPr>
        <w:t xml:space="preserve">Que, conforme a lo establecido en los artículos 82, fracción II de la Constitución Política del Estado Libre y Soberano de Yucatán y 41, inciso C), fracción XI de la Ley de Gobierno de los Municipios del Estado de Yucatán, es facultad de los Ayuntamientos aprobar la iniciativa de reforma a la Ley de Ingresos del Municipio de </w:t>
      </w:r>
      <w:r w:rsidR="006F5AAD" w:rsidRPr="00A450E6">
        <w:rPr>
          <w:rFonts w:ascii="Arial" w:hAnsi="Arial" w:cs="Arial"/>
          <w:sz w:val="24"/>
          <w:szCs w:val="24"/>
        </w:rPr>
        <w:t>Temax</w:t>
      </w:r>
      <w:r w:rsidRPr="00A450E6">
        <w:rPr>
          <w:rFonts w:ascii="Arial" w:hAnsi="Arial" w:cs="Arial"/>
          <w:sz w:val="24"/>
          <w:szCs w:val="24"/>
        </w:rPr>
        <w:t>, Yucatán, para el ejercicio fiscal 2022 y presentarla ante esta Soberanía para su respectiva aprobación, atendiendo al mandato constitucional contenido en el penúltimo párrafo, de la fracción IV, del artículo 115.</w:t>
      </w:r>
    </w:p>
    <w:p w14:paraId="46328859" w14:textId="77777777" w:rsidR="00E82359" w:rsidRPr="00A450E6" w:rsidRDefault="00E82359" w:rsidP="00E82359">
      <w:pPr>
        <w:spacing w:line="360" w:lineRule="auto"/>
        <w:jc w:val="both"/>
        <w:rPr>
          <w:rFonts w:ascii="Arial" w:hAnsi="Arial" w:cs="Arial"/>
          <w:sz w:val="24"/>
          <w:szCs w:val="24"/>
        </w:rPr>
      </w:pPr>
      <w:r w:rsidRPr="00A450E6">
        <w:rPr>
          <w:rFonts w:ascii="Arial" w:hAnsi="Arial" w:cs="Arial"/>
          <w:sz w:val="24"/>
          <w:szCs w:val="24"/>
        </w:rPr>
        <w:t xml:space="preserve"> </w:t>
      </w:r>
    </w:p>
    <w:p w14:paraId="1BA5A044" w14:textId="77777777" w:rsidR="00E82359" w:rsidRPr="00A450E6" w:rsidRDefault="008219BA" w:rsidP="00E82359">
      <w:pPr>
        <w:spacing w:line="360" w:lineRule="auto"/>
        <w:jc w:val="both"/>
        <w:rPr>
          <w:rFonts w:ascii="Arial" w:hAnsi="Arial" w:cs="Arial"/>
          <w:sz w:val="24"/>
          <w:szCs w:val="24"/>
        </w:rPr>
      </w:pPr>
      <w:r w:rsidRPr="00A450E6">
        <w:rPr>
          <w:rFonts w:ascii="Arial" w:hAnsi="Arial" w:cs="Arial"/>
          <w:b/>
          <w:sz w:val="24"/>
          <w:szCs w:val="24"/>
        </w:rPr>
        <w:t xml:space="preserve">Tercero. </w:t>
      </w:r>
      <w:r w:rsidR="00E82359" w:rsidRPr="00A450E6">
        <w:rPr>
          <w:rFonts w:ascii="Arial" w:hAnsi="Arial" w:cs="Arial"/>
          <w:sz w:val="24"/>
          <w:szCs w:val="24"/>
        </w:rPr>
        <w:t>Que, la hacienda municipal se rige por los principios de autonomía administrativa, libre ejercicio, transparencia y legalidad; y se forma, entre otros, por los recursos provenientes de los financiamientos, considerados como extraordinarios, siempre que los autorice el Congreso del Estado y su Presupuesto de Egresos sea aprobado y adecuado por el Cabildo conforme a las partidas presupuestales aprobadas por el Congreso del Estado en sus respectivas leyes de ingresos, según lo advierten la fracción VI del artículo 30 de la Constitución Política del Estado Libre y Soberano de Yucatán, así como la fracción V, del artículo 140, el inciso b), de la fracción II, del artículo 141 y el artículo 145 de la Ley de Gobierno de los Municipios del Estado de Yucatán.</w:t>
      </w:r>
    </w:p>
    <w:p w14:paraId="3C0213B1" w14:textId="77777777" w:rsidR="00E82359" w:rsidRPr="00A450E6" w:rsidRDefault="00E82359" w:rsidP="00E82359">
      <w:pPr>
        <w:spacing w:line="360" w:lineRule="auto"/>
        <w:jc w:val="both"/>
        <w:rPr>
          <w:rFonts w:ascii="Arial" w:hAnsi="Arial" w:cs="Arial"/>
          <w:sz w:val="24"/>
          <w:szCs w:val="24"/>
        </w:rPr>
      </w:pPr>
    </w:p>
    <w:p w14:paraId="36BA2F9D" w14:textId="4AE2EE8F" w:rsidR="008D58E7" w:rsidRPr="00A450E6" w:rsidRDefault="008D58E7" w:rsidP="008D58E7">
      <w:pPr>
        <w:spacing w:line="360" w:lineRule="auto"/>
        <w:jc w:val="both"/>
        <w:rPr>
          <w:rFonts w:ascii="Arial" w:hAnsi="Arial" w:cs="Arial"/>
          <w:sz w:val="24"/>
          <w:szCs w:val="24"/>
        </w:rPr>
      </w:pPr>
      <w:r w:rsidRPr="00F16903">
        <w:rPr>
          <w:rFonts w:ascii="Arial" w:hAnsi="Arial" w:cs="Arial"/>
          <w:b/>
          <w:sz w:val="24"/>
          <w:szCs w:val="24"/>
        </w:rPr>
        <w:t>Cuarto.</w:t>
      </w:r>
      <w:r w:rsidRPr="00F16903">
        <w:rPr>
          <w:rFonts w:ascii="Arial" w:hAnsi="Arial" w:cs="Arial"/>
          <w:sz w:val="24"/>
          <w:szCs w:val="24"/>
        </w:rPr>
        <w:t xml:space="preserve"> </w:t>
      </w:r>
      <w:r w:rsidR="00D372D6" w:rsidRPr="00F16903">
        <w:rPr>
          <w:rFonts w:ascii="Arial" w:hAnsi="Arial" w:cs="Arial"/>
          <w:sz w:val="24"/>
          <w:szCs w:val="24"/>
        </w:rPr>
        <w:t>Que</w:t>
      </w:r>
      <w:r w:rsidR="00D372D6">
        <w:rPr>
          <w:rFonts w:ascii="Arial" w:hAnsi="Arial" w:cs="Arial"/>
          <w:sz w:val="24"/>
          <w:szCs w:val="24"/>
        </w:rPr>
        <w:t>,</w:t>
      </w:r>
      <w:r w:rsidR="00D372D6" w:rsidRPr="00F16903">
        <w:rPr>
          <w:rFonts w:ascii="Arial" w:hAnsi="Arial" w:cs="Arial"/>
          <w:sz w:val="24"/>
          <w:szCs w:val="24"/>
        </w:rPr>
        <w:t xml:space="preserve"> </w:t>
      </w:r>
      <w:r w:rsidR="00D372D6">
        <w:rPr>
          <w:rFonts w:ascii="Arial" w:hAnsi="Arial" w:cs="Arial"/>
          <w:sz w:val="24"/>
          <w:szCs w:val="24"/>
        </w:rPr>
        <w:t xml:space="preserve">con fecha </w:t>
      </w:r>
      <w:r w:rsidR="00D372D6" w:rsidRPr="00F16903">
        <w:rPr>
          <w:rFonts w:ascii="Arial" w:hAnsi="Arial" w:cs="Arial"/>
          <w:sz w:val="24"/>
          <w:szCs w:val="24"/>
        </w:rPr>
        <w:t xml:space="preserve">14 de diciembre de 2021, </w:t>
      </w:r>
      <w:r w:rsidR="00D372D6">
        <w:rPr>
          <w:rFonts w:ascii="Arial" w:hAnsi="Arial" w:cs="Arial"/>
          <w:sz w:val="24"/>
          <w:szCs w:val="24"/>
        </w:rPr>
        <w:t xml:space="preserve">fue aprobada </w:t>
      </w:r>
      <w:r w:rsidR="00D372D6" w:rsidRPr="00F16903">
        <w:rPr>
          <w:rFonts w:ascii="Arial" w:hAnsi="Arial" w:cs="Arial"/>
          <w:sz w:val="24"/>
          <w:szCs w:val="24"/>
        </w:rPr>
        <w:t xml:space="preserve">la Ley de Ingresos del </w:t>
      </w:r>
      <w:r w:rsidR="00D372D6">
        <w:rPr>
          <w:rFonts w:ascii="Arial" w:hAnsi="Arial" w:cs="Arial"/>
          <w:sz w:val="24"/>
          <w:szCs w:val="24"/>
        </w:rPr>
        <w:t>M</w:t>
      </w:r>
      <w:r w:rsidR="00D372D6" w:rsidRPr="00F16903">
        <w:rPr>
          <w:rFonts w:ascii="Arial" w:hAnsi="Arial" w:cs="Arial"/>
          <w:sz w:val="24"/>
          <w:szCs w:val="24"/>
        </w:rPr>
        <w:t xml:space="preserve">unicipio de </w:t>
      </w:r>
      <w:r w:rsidR="00D372D6">
        <w:rPr>
          <w:rFonts w:ascii="Arial" w:hAnsi="Arial" w:cs="Arial"/>
          <w:sz w:val="24"/>
          <w:szCs w:val="24"/>
        </w:rPr>
        <w:t>Temax</w:t>
      </w:r>
      <w:r w:rsidR="00D372D6" w:rsidRPr="00F16903">
        <w:rPr>
          <w:rFonts w:ascii="Arial" w:hAnsi="Arial" w:cs="Arial"/>
          <w:sz w:val="24"/>
          <w:szCs w:val="24"/>
        </w:rPr>
        <w:t>, Yucatán, para el ejercicio fiscal 2022, por el H. Congreso del Estado,</w:t>
      </w:r>
      <w:r w:rsidR="00D372D6">
        <w:rPr>
          <w:rFonts w:ascii="Arial" w:hAnsi="Arial" w:cs="Arial"/>
          <w:sz w:val="24"/>
          <w:szCs w:val="24"/>
        </w:rPr>
        <w:t xml:space="preserve"> y</w:t>
      </w:r>
      <w:r w:rsidR="00D372D6" w:rsidRPr="00F16903">
        <w:rPr>
          <w:rFonts w:ascii="Arial" w:hAnsi="Arial" w:cs="Arial"/>
          <w:sz w:val="24"/>
          <w:szCs w:val="24"/>
        </w:rPr>
        <w:t xml:space="preserve"> public</w:t>
      </w:r>
      <w:r w:rsidR="00D372D6">
        <w:rPr>
          <w:rFonts w:ascii="Arial" w:hAnsi="Arial" w:cs="Arial"/>
          <w:sz w:val="24"/>
          <w:szCs w:val="24"/>
        </w:rPr>
        <w:t xml:space="preserve">ada </w:t>
      </w:r>
      <w:r w:rsidR="00D372D6" w:rsidRPr="00F16903">
        <w:rPr>
          <w:rFonts w:ascii="Arial" w:hAnsi="Arial" w:cs="Arial"/>
          <w:sz w:val="24"/>
          <w:szCs w:val="24"/>
        </w:rPr>
        <w:t>en el Diario Oficial del Gobierno del Estado de Yucatán el 31 de diciembre de 2021</w:t>
      </w:r>
      <w:r w:rsidRPr="00F16903">
        <w:rPr>
          <w:rFonts w:ascii="Arial" w:hAnsi="Arial" w:cs="Arial"/>
          <w:sz w:val="24"/>
          <w:szCs w:val="24"/>
        </w:rPr>
        <w:t>.</w:t>
      </w:r>
    </w:p>
    <w:p w14:paraId="1FC16A5C" w14:textId="77777777" w:rsidR="008D58E7" w:rsidRPr="00583483" w:rsidRDefault="008D58E7" w:rsidP="008D58E7">
      <w:pPr>
        <w:spacing w:line="360" w:lineRule="auto"/>
        <w:jc w:val="both"/>
        <w:rPr>
          <w:rFonts w:ascii="Arial" w:hAnsi="Arial" w:cs="Arial"/>
          <w:b/>
          <w:sz w:val="24"/>
          <w:szCs w:val="24"/>
        </w:rPr>
      </w:pPr>
    </w:p>
    <w:p w14:paraId="5A1A1A78" w14:textId="77777777" w:rsidR="008D58E7" w:rsidRDefault="008D58E7" w:rsidP="008D58E7">
      <w:pPr>
        <w:spacing w:line="360" w:lineRule="auto"/>
        <w:jc w:val="both"/>
        <w:rPr>
          <w:rFonts w:ascii="Arial" w:hAnsi="Arial" w:cs="Arial"/>
          <w:b/>
          <w:sz w:val="24"/>
          <w:szCs w:val="24"/>
        </w:rPr>
      </w:pPr>
      <w:r w:rsidRPr="00583483">
        <w:rPr>
          <w:rFonts w:ascii="Arial" w:hAnsi="Arial" w:cs="Arial"/>
          <w:b/>
          <w:sz w:val="24"/>
          <w:szCs w:val="24"/>
        </w:rPr>
        <w:t xml:space="preserve">Quinto. </w:t>
      </w:r>
      <w:r w:rsidRPr="00583483">
        <w:rPr>
          <w:rFonts w:ascii="Arial" w:hAnsi="Arial" w:cs="Arial"/>
          <w:sz w:val="24"/>
          <w:szCs w:val="24"/>
        </w:rPr>
        <w:t xml:space="preserve">Que, de conformidad con lo establecido en los artículos 31, 41 inciso C) fracción XI, 56 fracción II, 170 fracción III de la Ley de Gobierno de los Municipios del Estado de Yucatán, el H. Ayuntamiento de Temax, Yucatán aprobó la iniciativa de reforma a la Ley de Ingresos para el ejercicio fiscal 2022, según consta en la </w:t>
      </w:r>
      <w:r w:rsidRPr="00D372D6">
        <w:rPr>
          <w:rFonts w:ascii="Arial" w:hAnsi="Arial" w:cs="Arial"/>
          <w:sz w:val="24"/>
          <w:szCs w:val="24"/>
        </w:rPr>
        <w:t>Certificación del 16 de febrero de 2022, del Acta de Cabildo de la Trigésima Sesión Extraordinaria del H. Ayuntamiento del Municipio de Temax, Yucatán, celebrada en la misma fecha</w:t>
      </w:r>
      <w:r w:rsidRPr="00583483">
        <w:rPr>
          <w:rFonts w:ascii="Arial" w:hAnsi="Arial" w:cs="Arial"/>
          <w:sz w:val="24"/>
          <w:szCs w:val="24"/>
        </w:rPr>
        <w:t>.</w:t>
      </w:r>
    </w:p>
    <w:p w14:paraId="36765FA3" w14:textId="77777777" w:rsidR="008D58E7" w:rsidRDefault="008D58E7" w:rsidP="00E82359">
      <w:pPr>
        <w:spacing w:line="360" w:lineRule="auto"/>
        <w:jc w:val="both"/>
        <w:rPr>
          <w:rFonts w:ascii="Arial" w:hAnsi="Arial" w:cs="Arial"/>
          <w:b/>
          <w:sz w:val="24"/>
          <w:szCs w:val="24"/>
        </w:rPr>
      </w:pPr>
    </w:p>
    <w:p w14:paraId="763FB539" w14:textId="54610336" w:rsidR="00E82359" w:rsidRPr="00A450E6" w:rsidRDefault="008D58E7" w:rsidP="00E82359">
      <w:pPr>
        <w:spacing w:line="360" w:lineRule="auto"/>
        <w:jc w:val="both"/>
        <w:rPr>
          <w:rFonts w:ascii="Arial" w:hAnsi="Arial" w:cs="Arial"/>
          <w:sz w:val="24"/>
          <w:szCs w:val="24"/>
        </w:rPr>
      </w:pPr>
      <w:r>
        <w:rPr>
          <w:rFonts w:ascii="Arial" w:hAnsi="Arial" w:cs="Arial"/>
          <w:b/>
          <w:sz w:val="24"/>
          <w:szCs w:val="24"/>
        </w:rPr>
        <w:t>Sexto</w:t>
      </w:r>
      <w:r w:rsidR="008219BA" w:rsidRPr="00A450E6">
        <w:rPr>
          <w:rFonts w:ascii="Arial" w:hAnsi="Arial" w:cs="Arial"/>
          <w:b/>
          <w:sz w:val="24"/>
          <w:szCs w:val="24"/>
        </w:rPr>
        <w:t xml:space="preserve">. </w:t>
      </w:r>
      <w:r w:rsidR="008219BA" w:rsidRPr="00A450E6">
        <w:rPr>
          <w:rFonts w:ascii="Arial" w:hAnsi="Arial" w:cs="Arial"/>
          <w:sz w:val="24"/>
          <w:szCs w:val="24"/>
        </w:rPr>
        <w:t xml:space="preserve">Que, por medio de esta </w:t>
      </w:r>
      <w:r w:rsidR="00E82359" w:rsidRPr="00A450E6">
        <w:rPr>
          <w:rFonts w:ascii="Arial" w:hAnsi="Arial" w:cs="Arial"/>
          <w:sz w:val="24"/>
          <w:szCs w:val="24"/>
        </w:rPr>
        <w:t>inicia</w:t>
      </w:r>
      <w:r w:rsidR="008219BA" w:rsidRPr="00A450E6">
        <w:rPr>
          <w:rFonts w:ascii="Arial" w:hAnsi="Arial" w:cs="Arial"/>
          <w:sz w:val="24"/>
          <w:szCs w:val="24"/>
        </w:rPr>
        <w:t xml:space="preserve">tiva de Ley, se presenta </w:t>
      </w:r>
      <w:r w:rsidR="00E82359" w:rsidRPr="00A450E6">
        <w:rPr>
          <w:rFonts w:ascii="Arial" w:hAnsi="Arial" w:cs="Arial"/>
          <w:sz w:val="24"/>
          <w:szCs w:val="24"/>
        </w:rPr>
        <w:t xml:space="preserve">la </w:t>
      </w:r>
      <w:r w:rsidR="008219BA" w:rsidRPr="00A450E6">
        <w:rPr>
          <w:rFonts w:ascii="Arial" w:hAnsi="Arial" w:cs="Arial"/>
          <w:sz w:val="24"/>
          <w:szCs w:val="24"/>
        </w:rPr>
        <w:t xml:space="preserve">correspondiente </w:t>
      </w:r>
      <w:r w:rsidR="00E82359" w:rsidRPr="00A450E6">
        <w:rPr>
          <w:rFonts w:ascii="Arial" w:hAnsi="Arial" w:cs="Arial"/>
          <w:sz w:val="24"/>
          <w:szCs w:val="24"/>
        </w:rPr>
        <w:t xml:space="preserve">reforma a la Ley de Ingresos del Municipio de Temax, Yucatán, para el ejercicio fiscal 2022, a fin de considerar el ingreso </w:t>
      </w:r>
      <w:r w:rsidR="006934DD">
        <w:rPr>
          <w:rFonts w:ascii="Arial" w:hAnsi="Arial" w:cs="Arial"/>
          <w:sz w:val="24"/>
          <w:szCs w:val="24"/>
        </w:rPr>
        <w:t xml:space="preserve">extraordinario por </w:t>
      </w:r>
      <w:r w:rsidR="00E82359" w:rsidRPr="00A450E6">
        <w:rPr>
          <w:rFonts w:ascii="Arial" w:hAnsi="Arial" w:cs="Arial"/>
          <w:sz w:val="24"/>
          <w:szCs w:val="24"/>
        </w:rPr>
        <w:t>financiamiento</w:t>
      </w:r>
      <w:r w:rsidR="009273BA">
        <w:rPr>
          <w:rFonts w:ascii="Arial" w:hAnsi="Arial" w:cs="Arial"/>
          <w:sz w:val="24"/>
          <w:szCs w:val="24"/>
        </w:rPr>
        <w:t>,</w:t>
      </w:r>
      <w:r w:rsidR="00E82359" w:rsidRPr="00A450E6">
        <w:rPr>
          <w:rFonts w:ascii="Arial" w:hAnsi="Arial" w:cs="Arial"/>
          <w:sz w:val="24"/>
          <w:szCs w:val="24"/>
        </w:rPr>
        <w:t xml:space="preserve"> </w:t>
      </w:r>
      <w:r w:rsidR="00F0200F" w:rsidRPr="00F0200F">
        <w:rPr>
          <w:rFonts w:ascii="Arial" w:hAnsi="Arial" w:cs="Arial"/>
          <w:sz w:val="24"/>
          <w:szCs w:val="24"/>
        </w:rPr>
        <w:t>el cual se somete a consideración y aprobación del Congreso del Estado</w:t>
      </w:r>
      <w:r w:rsidR="006934DD" w:rsidRPr="006934DD">
        <w:rPr>
          <w:rFonts w:ascii="Arial" w:hAnsi="Arial" w:cs="Arial"/>
          <w:sz w:val="24"/>
          <w:szCs w:val="24"/>
        </w:rPr>
        <w:t xml:space="preserve"> </w:t>
      </w:r>
      <w:r w:rsidR="006934DD">
        <w:rPr>
          <w:rFonts w:ascii="Arial" w:hAnsi="Arial" w:cs="Arial"/>
          <w:sz w:val="24"/>
          <w:szCs w:val="24"/>
        </w:rPr>
        <w:t>en esta misma fecha</w:t>
      </w:r>
      <w:r w:rsidR="00E82359" w:rsidRPr="00A450E6">
        <w:rPr>
          <w:rFonts w:ascii="Arial" w:hAnsi="Arial" w:cs="Arial"/>
          <w:sz w:val="24"/>
          <w:szCs w:val="24"/>
        </w:rPr>
        <w:t xml:space="preserve">, conforme a la fracción II del artículo 5 de la Ley de Deuda Pública del Estado de Yucatán, </w:t>
      </w:r>
      <w:r w:rsidR="006934DD">
        <w:rPr>
          <w:rFonts w:ascii="Arial" w:hAnsi="Arial" w:cs="Arial"/>
          <w:sz w:val="24"/>
          <w:szCs w:val="24"/>
        </w:rPr>
        <w:t xml:space="preserve">así como al artículo 142, fracción II, incisos a) y b), de la Ley de Gobierno de los Municipios del Estado de Yucatán, </w:t>
      </w:r>
      <w:r w:rsidR="00E82359" w:rsidRPr="00A450E6">
        <w:rPr>
          <w:rFonts w:ascii="Arial" w:hAnsi="Arial" w:cs="Arial"/>
          <w:sz w:val="24"/>
          <w:szCs w:val="24"/>
        </w:rPr>
        <w:t>que a la letra señala</w:t>
      </w:r>
      <w:r w:rsidR="006934DD">
        <w:rPr>
          <w:rFonts w:ascii="Arial" w:hAnsi="Arial" w:cs="Arial"/>
          <w:sz w:val="24"/>
          <w:szCs w:val="24"/>
        </w:rPr>
        <w:t>n</w:t>
      </w:r>
      <w:r w:rsidR="00E82359" w:rsidRPr="00A450E6">
        <w:rPr>
          <w:rFonts w:ascii="Arial" w:hAnsi="Arial" w:cs="Arial"/>
          <w:sz w:val="24"/>
          <w:szCs w:val="24"/>
        </w:rPr>
        <w:t xml:space="preserve"> lo siguiente:</w:t>
      </w:r>
    </w:p>
    <w:p w14:paraId="051830B7" w14:textId="77777777" w:rsidR="00E82359" w:rsidRPr="00A450E6" w:rsidRDefault="00E82359" w:rsidP="00E82359">
      <w:pPr>
        <w:spacing w:line="360" w:lineRule="auto"/>
        <w:jc w:val="both"/>
        <w:rPr>
          <w:rFonts w:ascii="Arial" w:hAnsi="Arial" w:cs="Arial"/>
          <w:sz w:val="24"/>
          <w:szCs w:val="24"/>
        </w:rPr>
      </w:pPr>
    </w:p>
    <w:p w14:paraId="0C118A44" w14:textId="77777777" w:rsidR="00E82359" w:rsidRPr="00A450E6" w:rsidRDefault="00E82359" w:rsidP="008219BA">
      <w:pPr>
        <w:spacing w:line="360" w:lineRule="auto"/>
        <w:ind w:left="426" w:right="333"/>
        <w:jc w:val="both"/>
        <w:rPr>
          <w:rFonts w:ascii="Arial" w:hAnsi="Arial" w:cs="Arial"/>
          <w:i/>
          <w:szCs w:val="24"/>
        </w:rPr>
      </w:pPr>
      <w:r w:rsidRPr="00A450E6">
        <w:rPr>
          <w:rFonts w:ascii="Arial" w:hAnsi="Arial" w:cs="Arial"/>
          <w:i/>
          <w:szCs w:val="24"/>
        </w:rPr>
        <w:t>“Artículo 5. Atribuciones del Congreso</w:t>
      </w:r>
    </w:p>
    <w:p w14:paraId="17F20582" w14:textId="77777777" w:rsidR="00E82359" w:rsidRPr="00A450E6" w:rsidRDefault="00E82359" w:rsidP="008219BA">
      <w:pPr>
        <w:spacing w:line="360" w:lineRule="auto"/>
        <w:ind w:left="426" w:right="333"/>
        <w:jc w:val="both"/>
        <w:rPr>
          <w:rFonts w:ascii="Arial" w:hAnsi="Arial" w:cs="Arial"/>
          <w:i/>
          <w:szCs w:val="24"/>
        </w:rPr>
      </w:pPr>
    </w:p>
    <w:p w14:paraId="3ACA058C" w14:textId="77777777" w:rsidR="00E82359" w:rsidRPr="00A450E6" w:rsidRDefault="00E82359" w:rsidP="008219BA">
      <w:pPr>
        <w:spacing w:line="360" w:lineRule="auto"/>
        <w:ind w:left="426" w:right="333"/>
        <w:jc w:val="both"/>
        <w:rPr>
          <w:rFonts w:ascii="Arial" w:hAnsi="Arial" w:cs="Arial"/>
          <w:i/>
          <w:szCs w:val="24"/>
        </w:rPr>
      </w:pPr>
      <w:r w:rsidRPr="00A450E6">
        <w:rPr>
          <w:rFonts w:ascii="Arial" w:hAnsi="Arial" w:cs="Arial"/>
          <w:i/>
          <w:szCs w:val="24"/>
        </w:rPr>
        <w:t>Al Congreso del estado, para el cumplimiento del objeto de esta ley, le corresponderá autorizar:</w:t>
      </w:r>
    </w:p>
    <w:p w14:paraId="7343A3F9" w14:textId="77777777" w:rsidR="00E82359" w:rsidRPr="00A450E6" w:rsidRDefault="00E82359" w:rsidP="008219BA">
      <w:pPr>
        <w:spacing w:line="360" w:lineRule="auto"/>
        <w:ind w:left="426" w:right="333"/>
        <w:jc w:val="both"/>
        <w:rPr>
          <w:rFonts w:ascii="Arial" w:hAnsi="Arial" w:cs="Arial"/>
          <w:i/>
          <w:szCs w:val="24"/>
        </w:rPr>
      </w:pPr>
      <w:r w:rsidRPr="00A450E6">
        <w:rPr>
          <w:rFonts w:ascii="Arial" w:hAnsi="Arial" w:cs="Arial"/>
          <w:i/>
          <w:szCs w:val="24"/>
        </w:rPr>
        <w:t>I …</w:t>
      </w:r>
    </w:p>
    <w:p w14:paraId="04F678AD" w14:textId="77777777" w:rsidR="00E82359" w:rsidRPr="00A450E6" w:rsidRDefault="00E82359" w:rsidP="008219BA">
      <w:pPr>
        <w:spacing w:line="360" w:lineRule="auto"/>
        <w:ind w:left="426" w:right="333"/>
        <w:jc w:val="both"/>
        <w:rPr>
          <w:rFonts w:ascii="Arial" w:hAnsi="Arial" w:cs="Arial"/>
          <w:i/>
          <w:szCs w:val="24"/>
        </w:rPr>
      </w:pPr>
      <w:r w:rsidRPr="00A450E6">
        <w:rPr>
          <w:rFonts w:ascii="Arial" w:hAnsi="Arial" w:cs="Arial"/>
          <w:i/>
          <w:szCs w:val="24"/>
        </w:rPr>
        <w:t xml:space="preserve">II. A los entes públicos, la contratación de montos y conceptos de endeudamiento, de financiamiento neto y de erogaciones derivadas de obligaciones, adicionales a los autorizados, cuando a juicio del propio Congreso se presenten circunstancias </w:t>
      </w:r>
      <w:r w:rsidRPr="00A450E6">
        <w:rPr>
          <w:rFonts w:ascii="Arial" w:hAnsi="Arial" w:cs="Arial"/>
          <w:i/>
          <w:szCs w:val="24"/>
        </w:rPr>
        <w:lastRenderedPageBreak/>
        <w:t>que así lo ameriten, con el voto de las dos terceras partes de sus miembros presentes.</w:t>
      </w:r>
    </w:p>
    <w:p w14:paraId="7E804A01" w14:textId="77777777" w:rsidR="00E82359" w:rsidRDefault="00E82359" w:rsidP="008219BA">
      <w:pPr>
        <w:spacing w:line="360" w:lineRule="auto"/>
        <w:ind w:left="426" w:right="333"/>
        <w:jc w:val="both"/>
        <w:rPr>
          <w:rFonts w:ascii="Arial" w:hAnsi="Arial" w:cs="Arial"/>
          <w:i/>
          <w:szCs w:val="24"/>
        </w:rPr>
      </w:pPr>
      <w:r w:rsidRPr="00A450E6">
        <w:rPr>
          <w:rFonts w:ascii="Arial" w:hAnsi="Arial" w:cs="Arial"/>
          <w:i/>
          <w:szCs w:val="24"/>
        </w:rPr>
        <w:t>…”</w:t>
      </w:r>
    </w:p>
    <w:p w14:paraId="1AA3FB4E" w14:textId="77777777" w:rsidR="006934DD" w:rsidRDefault="006934DD" w:rsidP="008219BA">
      <w:pPr>
        <w:spacing w:line="360" w:lineRule="auto"/>
        <w:ind w:left="426" w:right="333"/>
        <w:jc w:val="both"/>
        <w:rPr>
          <w:rFonts w:ascii="Arial" w:hAnsi="Arial" w:cs="Arial"/>
          <w:i/>
          <w:szCs w:val="24"/>
        </w:rPr>
      </w:pPr>
    </w:p>
    <w:p w14:paraId="1FECAB64" w14:textId="77777777" w:rsidR="006934DD" w:rsidRPr="00B7420A" w:rsidRDefault="006934DD" w:rsidP="006934DD">
      <w:pPr>
        <w:spacing w:line="360" w:lineRule="auto"/>
        <w:ind w:left="426" w:right="333"/>
        <w:jc w:val="both"/>
        <w:rPr>
          <w:rFonts w:ascii="Arial" w:hAnsi="Arial" w:cs="Arial"/>
          <w:i/>
          <w:szCs w:val="24"/>
        </w:rPr>
      </w:pPr>
      <w:r>
        <w:rPr>
          <w:rFonts w:ascii="Arial" w:hAnsi="Arial" w:cs="Arial"/>
          <w:i/>
          <w:szCs w:val="24"/>
        </w:rPr>
        <w:t>“</w:t>
      </w:r>
      <w:r w:rsidRPr="00B7420A">
        <w:rPr>
          <w:rFonts w:ascii="Arial" w:hAnsi="Arial" w:cs="Arial"/>
          <w:i/>
          <w:szCs w:val="24"/>
        </w:rPr>
        <w:t>Artículo 142.- Para los efectos de esta ley, los ingresos serán ordinarios y extraordinarios, los primeros serán tributarios y no tributarios; y los segundos, los no previstos.</w:t>
      </w:r>
    </w:p>
    <w:p w14:paraId="5577DCD1" w14:textId="77777777" w:rsidR="006934DD" w:rsidRPr="00B7420A" w:rsidRDefault="006934DD" w:rsidP="006934DD">
      <w:pPr>
        <w:spacing w:line="360" w:lineRule="auto"/>
        <w:ind w:left="426" w:right="333"/>
        <w:jc w:val="both"/>
        <w:rPr>
          <w:rFonts w:ascii="Arial" w:hAnsi="Arial" w:cs="Arial"/>
          <w:i/>
          <w:szCs w:val="24"/>
        </w:rPr>
      </w:pPr>
    </w:p>
    <w:p w14:paraId="725F0E52" w14:textId="77777777" w:rsidR="006934DD" w:rsidRPr="00B7420A" w:rsidRDefault="006934DD" w:rsidP="006934DD">
      <w:pPr>
        <w:spacing w:line="360" w:lineRule="auto"/>
        <w:ind w:left="426" w:right="333"/>
        <w:jc w:val="both"/>
        <w:rPr>
          <w:rFonts w:ascii="Arial" w:hAnsi="Arial" w:cs="Arial"/>
          <w:i/>
          <w:szCs w:val="24"/>
        </w:rPr>
      </w:pPr>
      <w:r>
        <w:rPr>
          <w:rFonts w:ascii="Arial" w:hAnsi="Arial" w:cs="Arial"/>
          <w:i/>
          <w:szCs w:val="24"/>
        </w:rPr>
        <w:t>…</w:t>
      </w:r>
    </w:p>
    <w:p w14:paraId="43B55C2C" w14:textId="77777777" w:rsidR="006934DD" w:rsidRPr="00B7420A" w:rsidRDefault="006934DD" w:rsidP="006934DD">
      <w:pPr>
        <w:spacing w:line="360" w:lineRule="auto"/>
        <w:ind w:left="426" w:right="333"/>
        <w:jc w:val="both"/>
        <w:rPr>
          <w:rFonts w:ascii="Arial" w:hAnsi="Arial" w:cs="Arial"/>
          <w:i/>
          <w:szCs w:val="24"/>
        </w:rPr>
      </w:pPr>
      <w:r w:rsidRPr="00B7420A">
        <w:rPr>
          <w:rFonts w:ascii="Arial" w:hAnsi="Arial" w:cs="Arial"/>
          <w:i/>
          <w:szCs w:val="24"/>
        </w:rPr>
        <w:t>II.- Serán extraordinarios:</w:t>
      </w:r>
    </w:p>
    <w:p w14:paraId="1F9DCB8B" w14:textId="77777777" w:rsidR="006934DD" w:rsidRPr="00B7420A" w:rsidRDefault="006934DD" w:rsidP="006934DD">
      <w:pPr>
        <w:spacing w:line="360" w:lineRule="auto"/>
        <w:ind w:left="426" w:right="333"/>
        <w:jc w:val="both"/>
        <w:rPr>
          <w:rFonts w:ascii="Arial" w:hAnsi="Arial" w:cs="Arial"/>
          <w:i/>
          <w:szCs w:val="24"/>
        </w:rPr>
      </w:pPr>
      <w:r w:rsidRPr="00B7420A">
        <w:rPr>
          <w:rFonts w:ascii="Arial" w:hAnsi="Arial" w:cs="Arial"/>
          <w:i/>
          <w:szCs w:val="24"/>
        </w:rPr>
        <w:t>a. Los que autorice el Cabildo, en los términos de su competencia y de conformidad a las leyes fiscales, incluyendo los financiamientos;</w:t>
      </w:r>
    </w:p>
    <w:p w14:paraId="039658E2" w14:textId="77777777" w:rsidR="006934DD" w:rsidRDefault="006934DD" w:rsidP="006934DD">
      <w:pPr>
        <w:spacing w:line="360" w:lineRule="auto"/>
        <w:ind w:left="426" w:right="333"/>
        <w:jc w:val="both"/>
        <w:rPr>
          <w:rFonts w:ascii="Arial" w:hAnsi="Arial" w:cs="Arial"/>
          <w:i/>
          <w:szCs w:val="24"/>
        </w:rPr>
      </w:pPr>
      <w:r w:rsidRPr="00B7420A">
        <w:rPr>
          <w:rFonts w:ascii="Arial" w:hAnsi="Arial" w:cs="Arial"/>
          <w:i/>
          <w:szCs w:val="24"/>
        </w:rPr>
        <w:t>b. Los que autorice el Congreso del Estado, y</w:t>
      </w:r>
    </w:p>
    <w:p w14:paraId="39DC9138" w14:textId="77777777" w:rsidR="006934DD" w:rsidRPr="00CD1FED" w:rsidRDefault="006934DD" w:rsidP="006934DD">
      <w:pPr>
        <w:spacing w:line="360" w:lineRule="auto"/>
        <w:ind w:left="426" w:right="333"/>
        <w:jc w:val="both"/>
        <w:rPr>
          <w:rFonts w:ascii="Arial" w:hAnsi="Arial" w:cs="Arial"/>
          <w:i/>
          <w:szCs w:val="24"/>
        </w:rPr>
      </w:pPr>
      <w:r>
        <w:rPr>
          <w:rFonts w:ascii="Arial" w:hAnsi="Arial" w:cs="Arial"/>
          <w:i/>
          <w:szCs w:val="24"/>
        </w:rPr>
        <w:t>…</w:t>
      </w:r>
      <w:r w:rsidRPr="00CD1FED">
        <w:rPr>
          <w:rFonts w:ascii="Arial" w:hAnsi="Arial" w:cs="Arial"/>
          <w:i/>
          <w:szCs w:val="24"/>
        </w:rPr>
        <w:t>”</w:t>
      </w:r>
    </w:p>
    <w:p w14:paraId="5DBBF73F" w14:textId="77777777" w:rsidR="006934DD" w:rsidRPr="00A450E6" w:rsidRDefault="006934DD" w:rsidP="008219BA">
      <w:pPr>
        <w:spacing w:line="360" w:lineRule="auto"/>
        <w:ind w:left="426" w:right="333"/>
        <w:jc w:val="both"/>
        <w:rPr>
          <w:rFonts w:ascii="Arial" w:hAnsi="Arial" w:cs="Arial"/>
          <w:i/>
          <w:szCs w:val="24"/>
        </w:rPr>
      </w:pPr>
    </w:p>
    <w:p w14:paraId="0F0906EE" w14:textId="77777777" w:rsidR="00E82359" w:rsidRPr="00A450E6" w:rsidRDefault="00E82359" w:rsidP="00E82359">
      <w:pPr>
        <w:spacing w:line="360" w:lineRule="auto"/>
        <w:jc w:val="both"/>
        <w:rPr>
          <w:rFonts w:ascii="Arial" w:hAnsi="Arial" w:cs="Arial"/>
          <w:sz w:val="24"/>
          <w:szCs w:val="24"/>
        </w:rPr>
      </w:pPr>
      <w:r w:rsidRPr="00A450E6">
        <w:rPr>
          <w:rFonts w:ascii="Arial" w:hAnsi="Arial" w:cs="Arial"/>
          <w:sz w:val="24"/>
          <w:szCs w:val="24"/>
        </w:rPr>
        <w:t xml:space="preserve">Que, en virtud de lo anterior, se somete ante el H. Congreso del Estado de Yucatán, la iniciativa de reforma a la Ley de Ingresos del Municipio de Temax, Yucatán, para el ejercicio fiscal 2022, con el objeto de que se incorpore el ingreso derivado de financiamiento por un monto de </w:t>
      </w:r>
      <w:r w:rsidR="005F6F7E">
        <w:rPr>
          <w:rFonts w:ascii="Arial" w:hAnsi="Arial" w:cs="Arial"/>
          <w:sz w:val="24"/>
          <w:szCs w:val="24"/>
        </w:rPr>
        <w:t>$8’</w:t>
      </w:r>
      <w:r w:rsidRPr="00415043">
        <w:rPr>
          <w:rFonts w:ascii="Arial" w:hAnsi="Arial" w:cs="Arial"/>
          <w:sz w:val="24"/>
          <w:szCs w:val="24"/>
        </w:rPr>
        <w:t>174,846.00 (</w:t>
      </w:r>
      <w:r w:rsidR="00AF0B2D" w:rsidRPr="00415043">
        <w:rPr>
          <w:rFonts w:ascii="Arial" w:hAnsi="Arial" w:cs="Arial"/>
          <w:sz w:val="24"/>
          <w:szCs w:val="24"/>
        </w:rPr>
        <w:t xml:space="preserve">ocho millones ciento setenta y cuatro mil ochocientos cuarenta y </w:t>
      </w:r>
      <w:r w:rsidR="00F0200F" w:rsidRPr="00F0200F">
        <w:rPr>
          <w:rFonts w:ascii="Arial" w:hAnsi="Arial" w:cs="Arial"/>
          <w:sz w:val="24"/>
          <w:szCs w:val="24"/>
        </w:rPr>
        <w:t>seis</w:t>
      </w:r>
      <w:r w:rsidR="00AF0B2D" w:rsidRPr="00415043">
        <w:rPr>
          <w:rFonts w:ascii="Arial" w:hAnsi="Arial" w:cs="Arial"/>
          <w:sz w:val="24"/>
          <w:szCs w:val="24"/>
        </w:rPr>
        <w:t xml:space="preserve"> pesos</w:t>
      </w:r>
      <w:r w:rsidRPr="00415043">
        <w:rPr>
          <w:rFonts w:ascii="Arial" w:hAnsi="Arial" w:cs="Arial"/>
          <w:sz w:val="24"/>
          <w:szCs w:val="24"/>
        </w:rPr>
        <w:t xml:space="preserve"> 00/100 M.N.)</w:t>
      </w:r>
      <w:r w:rsidRPr="00AF0B2D">
        <w:rPr>
          <w:rFonts w:ascii="Arial" w:hAnsi="Arial" w:cs="Arial"/>
          <w:sz w:val="24"/>
          <w:szCs w:val="24"/>
        </w:rPr>
        <w:t>, considerando</w:t>
      </w:r>
      <w:r w:rsidRPr="00A450E6">
        <w:rPr>
          <w:rFonts w:ascii="Arial" w:hAnsi="Arial" w:cs="Arial"/>
          <w:sz w:val="24"/>
          <w:szCs w:val="24"/>
        </w:rPr>
        <w:t xml:space="preserve"> que es responsabilidad de esa H. Legislatura, aprobar las Leyes de Ingresos Municipales para prever el monto adicional que cada municipio de esta Entidad formalice mediante la contratación de financiamiento, recalcando que el Ayuntamiento del Municipio de Temax, Yucatán, no es ajeno respecto a su facultad y obligación de presupuestar las erogaciones que contemplen el servicio de la deuda pública contratada.</w:t>
      </w:r>
    </w:p>
    <w:p w14:paraId="685B802C" w14:textId="77777777" w:rsidR="00E82359" w:rsidRPr="00A450E6" w:rsidRDefault="00E82359" w:rsidP="00E82359">
      <w:pPr>
        <w:spacing w:line="360" w:lineRule="auto"/>
        <w:jc w:val="both"/>
        <w:rPr>
          <w:rFonts w:ascii="Arial" w:hAnsi="Arial" w:cs="Arial"/>
          <w:sz w:val="24"/>
          <w:szCs w:val="24"/>
        </w:rPr>
      </w:pPr>
    </w:p>
    <w:p w14:paraId="1950FC2B" w14:textId="77777777" w:rsidR="000C61E1" w:rsidRDefault="000C61E1" w:rsidP="000C61E1">
      <w:pPr>
        <w:spacing w:line="360" w:lineRule="auto"/>
        <w:jc w:val="center"/>
        <w:rPr>
          <w:rFonts w:ascii="Arial" w:hAnsi="Arial" w:cs="Arial"/>
          <w:b/>
          <w:sz w:val="24"/>
          <w:szCs w:val="24"/>
        </w:rPr>
      </w:pPr>
      <w:r w:rsidRPr="00A450E6">
        <w:rPr>
          <w:rFonts w:ascii="Arial" w:hAnsi="Arial" w:cs="Arial"/>
          <w:b/>
          <w:sz w:val="24"/>
          <w:szCs w:val="24"/>
        </w:rPr>
        <w:t>DECRETO [*]</w:t>
      </w:r>
    </w:p>
    <w:p w14:paraId="52E6AB7A" w14:textId="77777777" w:rsidR="006934DD" w:rsidRPr="00A450E6" w:rsidRDefault="006934DD" w:rsidP="000C61E1">
      <w:pPr>
        <w:spacing w:line="360" w:lineRule="auto"/>
        <w:jc w:val="center"/>
        <w:rPr>
          <w:rFonts w:ascii="Arial" w:hAnsi="Arial" w:cs="Arial"/>
          <w:b/>
          <w:sz w:val="24"/>
          <w:szCs w:val="24"/>
        </w:rPr>
      </w:pPr>
    </w:p>
    <w:p w14:paraId="764D4773" w14:textId="48BD6C84" w:rsidR="000C61E1" w:rsidRDefault="000C61E1" w:rsidP="000C61E1">
      <w:pPr>
        <w:spacing w:line="360" w:lineRule="auto"/>
        <w:jc w:val="both"/>
        <w:rPr>
          <w:rFonts w:ascii="Arial" w:hAnsi="Arial" w:cs="Arial"/>
          <w:sz w:val="24"/>
          <w:szCs w:val="24"/>
        </w:rPr>
      </w:pPr>
      <w:r w:rsidRPr="00A450E6">
        <w:rPr>
          <w:rFonts w:ascii="Arial" w:hAnsi="Arial" w:cs="Arial"/>
          <w:b/>
          <w:sz w:val="24"/>
          <w:szCs w:val="24"/>
        </w:rPr>
        <w:t>ARTÍCULO ÚNICO.</w:t>
      </w:r>
      <w:r w:rsidRPr="00A450E6">
        <w:rPr>
          <w:rFonts w:ascii="Arial" w:hAnsi="Arial" w:cs="Arial"/>
          <w:sz w:val="24"/>
          <w:szCs w:val="24"/>
        </w:rPr>
        <w:t xml:space="preserve"> Se </w:t>
      </w:r>
      <w:r w:rsidR="008D58E7">
        <w:rPr>
          <w:rFonts w:ascii="Arial" w:hAnsi="Arial" w:cs="Arial"/>
          <w:sz w:val="24"/>
          <w:szCs w:val="24"/>
        </w:rPr>
        <w:t xml:space="preserve">reforma el </w:t>
      </w:r>
      <w:r w:rsidR="008D58E7" w:rsidRPr="005B5C61">
        <w:rPr>
          <w:rFonts w:ascii="Arial" w:hAnsi="Arial" w:cs="Arial"/>
          <w:sz w:val="24"/>
          <w:szCs w:val="24"/>
        </w:rPr>
        <w:t xml:space="preserve">artículo 12 de la </w:t>
      </w:r>
      <w:r w:rsidR="008D58E7">
        <w:rPr>
          <w:rFonts w:ascii="Arial" w:hAnsi="Arial" w:cs="Arial"/>
          <w:sz w:val="24"/>
          <w:szCs w:val="24"/>
        </w:rPr>
        <w:t>L</w:t>
      </w:r>
      <w:r w:rsidR="008D58E7" w:rsidRPr="005B5C61">
        <w:rPr>
          <w:rFonts w:ascii="Arial" w:hAnsi="Arial" w:cs="Arial"/>
          <w:sz w:val="24"/>
          <w:szCs w:val="24"/>
        </w:rPr>
        <w:t xml:space="preserve">ey de </w:t>
      </w:r>
      <w:r w:rsidR="008D58E7">
        <w:rPr>
          <w:rFonts w:ascii="Arial" w:hAnsi="Arial" w:cs="Arial"/>
          <w:sz w:val="24"/>
          <w:szCs w:val="24"/>
        </w:rPr>
        <w:t>I</w:t>
      </w:r>
      <w:r w:rsidR="008D58E7" w:rsidRPr="005B5C61">
        <w:rPr>
          <w:rFonts w:ascii="Arial" w:hAnsi="Arial" w:cs="Arial"/>
          <w:sz w:val="24"/>
          <w:szCs w:val="24"/>
        </w:rPr>
        <w:t xml:space="preserve">ngresos del </w:t>
      </w:r>
      <w:r w:rsidR="008D58E7">
        <w:rPr>
          <w:rFonts w:ascii="Arial" w:hAnsi="Arial" w:cs="Arial"/>
          <w:sz w:val="24"/>
          <w:szCs w:val="24"/>
        </w:rPr>
        <w:t>M</w:t>
      </w:r>
      <w:r w:rsidR="008D58E7" w:rsidRPr="005B5C61">
        <w:rPr>
          <w:rFonts w:ascii="Arial" w:hAnsi="Arial" w:cs="Arial"/>
          <w:sz w:val="24"/>
          <w:szCs w:val="24"/>
        </w:rPr>
        <w:t xml:space="preserve">unicipio de </w:t>
      </w:r>
      <w:r w:rsidR="00D372D6">
        <w:rPr>
          <w:rFonts w:ascii="Arial" w:hAnsi="Arial" w:cs="Arial"/>
          <w:sz w:val="24"/>
          <w:szCs w:val="24"/>
        </w:rPr>
        <w:t>Temax</w:t>
      </w:r>
      <w:r w:rsidR="008D58E7" w:rsidRPr="005B5C61">
        <w:rPr>
          <w:rFonts w:ascii="Arial" w:hAnsi="Arial" w:cs="Arial"/>
          <w:sz w:val="24"/>
          <w:szCs w:val="24"/>
        </w:rPr>
        <w:t xml:space="preserve">, </w:t>
      </w:r>
      <w:r w:rsidR="008D58E7">
        <w:rPr>
          <w:rFonts w:ascii="Arial" w:hAnsi="Arial" w:cs="Arial"/>
          <w:sz w:val="24"/>
          <w:szCs w:val="24"/>
        </w:rPr>
        <w:t>Y</w:t>
      </w:r>
      <w:r w:rsidR="008D58E7" w:rsidRPr="005B5C61">
        <w:rPr>
          <w:rFonts w:ascii="Arial" w:hAnsi="Arial" w:cs="Arial"/>
          <w:sz w:val="24"/>
          <w:szCs w:val="24"/>
        </w:rPr>
        <w:t xml:space="preserve">ucatán, para el </w:t>
      </w:r>
      <w:r w:rsidR="008D58E7">
        <w:rPr>
          <w:rFonts w:ascii="Arial" w:hAnsi="Arial" w:cs="Arial"/>
          <w:sz w:val="24"/>
          <w:szCs w:val="24"/>
        </w:rPr>
        <w:t>E</w:t>
      </w:r>
      <w:r w:rsidR="008D58E7" w:rsidRPr="005B5C61">
        <w:rPr>
          <w:rFonts w:ascii="Arial" w:hAnsi="Arial" w:cs="Arial"/>
          <w:sz w:val="24"/>
          <w:szCs w:val="24"/>
        </w:rPr>
        <w:t xml:space="preserve">jercicio </w:t>
      </w:r>
      <w:r w:rsidR="008D58E7">
        <w:rPr>
          <w:rFonts w:ascii="Arial" w:hAnsi="Arial" w:cs="Arial"/>
          <w:sz w:val="24"/>
          <w:szCs w:val="24"/>
        </w:rPr>
        <w:t>F</w:t>
      </w:r>
      <w:r w:rsidR="008D58E7" w:rsidRPr="005B5C61">
        <w:rPr>
          <w:rFonts w:ascii="Arial" w:hAnsi="Arial" w:cs="Arial"/>
          <w:sz w:val="24"/>
          <w:szCs w:val="24"/>
        </w:rPr>
        <w:t xml:space="preserve">iscal 2022, para </w:t>
      </w:r>
      <w:r w:rsidR="008D58E7">
        <w:rPr>
          <w:rFonts w:ascii="Arial" w:hAnsi="Arial" w:cs="Arial"/>
          <w:sz w:val="24"/>
          <w:szCs w:val="24"/>
        </w:rPr>
        <w:t>modificar</w:t>
      </w:r>
      <w:r w:rsidR="008D58E7" w:rsidRPr="005B5C61">
        <w:rPr>
          <w:rFonts w:ascii="Arial" w:hAnsi="Arial" w:cs="Arial"/>
          <w:sz w:val="24"/>
          <w:szCs w:val="24"/>
        </w:rPr>
        <w:t xml:space="preserve"> la tabla de ingresos estimados</w:t>
      </w:r>
      <w:r w:rsidR="008D58E7">
        <w:rPr>
          <w:rFonts w:ascii="Arial" w:hAnsi="Arial" w:cs="Arial"/>
          <w:sz w:val="24"/>
          <w:szCs w:val="24"/>
        </w:rPr>
        <w:t xml:space="preserve"> donde se </w:t>
      </w:r>
      <w:r w:rsidRPr="00A450E6">
        <w:rPr>
          <w:rFonts w:ascii="Arial" w:hAnsi="Arial" w:cs="Arial"/>
          <w:sz w:val="24"/>
          <w:szCs w:val="24"/>
        </w:rPr>
        <w:t xml:space="preserve">adiciona el monto </w:t>
      </w:r>
      <w:r w:rsidR="00A450E6">
        <w:rPr>
          <w:rFonts w:ascii="Arial" w:hAnsi="Arial" w:cs="Arial"/>
          <w:sz w:val="24"/>
          <w:szCs w:val="24"/>
        </w:rPr>
        <w:t xml:space="preserve">máximo </w:t>
      </w:r>
      <w:r w:rsidRPr="00A450E6">
        <w:rPr>
          <w:rFonts w:ascii="Arial" w:hAnsi="Arial" w:cs="Arial"/>
          <w:sz w:val="24"/>
          <w:szCs w:val="24"/>
        </w:rPr>
        <w:t>previsto en el rubro “Ingresos derivados de financiamientos”, y se reforma el rubro “TOTAL DE INGRESOS QUE EL MUNICIPIO DE TEMAX YUCATÁN PERCIBIRÁ DURANTE EL EJERCICIO F</w:t>
      </w:r>
      <w:r w:rsidR="009B5D13">
        <w:rPr>
          <w:rFonts w:ascii="Arial" w:hAnsi="Arial" w:cs="Arial"/>
          <w:sz w:val="24"/>
          <w:szCs w:val="24"/>
        </w:rPr>
        <w:t>I</w:t>
      </w:r>
      <w:r w:rsidRPr="00A450E6">
        <w:rPr>
          <w:rFonts w:ascii="Arial" w:hAnsi="Arial" w:cs="Arial"/>
          <w:sz w:val="24"/>
          <w:szCs w:val="24"/>
        </w:rPr>
        <w:t>SCAL 2022, ASCENDERÁ A:”, para prever el ingreso que se percibirá derivado de la contratación de financiamiento, para quedar como sigue:</w:t>
      </w:r>
    </w:p>
    <w:p w14:paraId="0DBB08B5" w14:textId="77777777" w:rsidR="008D58E7" w:rsidRPr="00A450E6" w:rsidRDefault="008D58E7" w:rsidP="000C61E1">
      <w:pPr>
        <w:spacing w:line="360" w:lineRule="auto"/>
        <w:jc w:val="both"/>
        <w:rPr>
          <w:rFonts w:ascii="Arial" w:hAnsi="Arial" w:cs="Arial"/>
          <w:sz w:val="24"/>
          <w:szCs w:val="24"/>
        </w:rPr>
      </w:pPr>
    </w:p>
    <w:p w14:paraId="5B49BA08" w14:textId="77777777" w:rsidR="000C61E1" w:rsidRPr="00A450E6" w:rsidRDefault="000C61E1" w:rsidP="000C61E1">
      <w:pPr>
        <w:spacing w:line="360" w:lineRule="auto"/>
        <w:jc w:val="both"/>
        <w:rPr>
          <w:rFonts w:ascii="Arial" w:hAnsi="Arial" w:cs="Arial"/>
          <w:sz w:val="24"/>
          <w:szCs w:val="24"/>
        </w:rPr>
      </w:pPr>
      <w:r w:rsidRPr="00A450E6">
        <w:rPr>
          <w:rFonts w:ascii="Arial" w:hAnsi="Arial" w:cs="Arial"/>
          <w:b/>
          <w:sz w:val="24"/>
          <w:szCs w:val="24"/>
        </w:rPr>
        <w:t>Artículo 12.-</w:t>
      </w:r>
      <w:r w:rsidRPr="00A450E6">
        <w:rPr>
          <w:rFonts w:ascii="Arial" w:hAnsi="Arial" w:cs="Arial"/>
          <w:sz w:val="24"/>
          <w:szCs w:val="24"/>
        </w:rPr>
        <w:t xml:space="preserve"> …</w:t>
      </w:r>
    </w:p>
    <w:tbl>
      <w:tblPr>
        <w:tblStyle w:val="Tablaconcuadrcula"/>
        <w:tblW w:w="0" w:type="auto"/>
        <w:tblLook w:val="04A0" w:firstRow="1" w:lastRow="0" w:firstColumn="1" w:lastColumn="0" w:noHBand="0" w:noVBand="1"/>
      </w:tblPr>
      <w:tblGrid>
        <w:gridCol w:w="5807"/>
        <w:gridCol w:w="425"/>
        <w:gridCol w:w="2596"/>
      </w:tblGrid>
      <w:tr w:rsidR="000C61E1" w:rsidRPr="00A450E6" w14:paraId="74AD70F5" w14:textId="77777777" w:rsidTr="008A628B">
        <w:tc>
          <w:tcPr>
            <w:tcW w:w="5807" w:type="dxa"/>
          </w:tcPr>
          <w:p w14:paraId="36729A2D" w14:textId="77777777" w:rsidR="000C61E1" w:rsidRPr="00A450E6" w:rsidRDefault="000C61E1" w:rsidP="008A628B">
            <w:pPr>
              <w:spacing w:line="360" w:lineRule="auto"/>
              <w:jc w:val="both"/>
              <w:rPr>
                <w:rFonts w:ascii="Arial" w:hAnsi="Arial" w:cs="Arial"/>
                <w:sz w:val="24"/>
                <w:szCs w:val="24"/>
              </w:rPr>
            </w:pPr>
            <w:r w:rsidRPr="00A450E6">
              <w:rPr>
                <w:rFonts w:ascii="Arial" w:hAnsi="Arial" w:cs="Arial"/>
                <w:sz w:val="24"/>
                <w:szCs w:val="24"/>
              </w:rPr>
              <w:t>…</w:t>
            </w:r>
          </w:p>
        </w:tc>
        <w:tc>
          <w:tcPr>
            <w:tcW w:w="425" w:type="dxa"/>
          </w:tcPr>
          <w:p w14:paraId="65917EF2" w14:textId="77777777" w:rsidR="000C61E1" w:rsidRPr="00A450E6" w:rsidRDefault="000C61E1" w:rsidP="008A628B">
            <w:pPr>
              <w:spacing w:line="360" w:lineRule="auto"/>
              <w:jc w:val="both"/>
              <w:rPr>
                <w:rFonts w:ascii="Arial" w:hAnsi="Arial" w:cs="Arial"/>
                <w:sz w:val="24"/>
                <w:szCs w:val="24"/>
              </w:rPr>
            </w:pPr>
            <w:r w:rsidRPr="00A450E6">
              <w:rPr>
                <w:rFonts w:ascii="Arial" w:hAnsi="Arial" w:cs="Arial"/>
                <w:sz w:val="24"/>
                <w:szCs w:val="24"/>
              </w:rPr>
              <w:t>$</w:t>
            </w:r>
          </w:p>
        </w:tc>
        <w:tc>
          <w:tcPr>
            <w:tcW w:w="2596" w:type="dxa"/>
          </w:tcPr>
          <w:p w14:paraId="19BFF883" w14:textId="77777777" w:rsidR="000C61E1" w:rsidRPr="00A450E6" w:rsidRDefault="000C61E1" w:rsidP="008A628B">
            <w:pPr>
              <w:spacing w:line="360" w:lineRule="auto"/>
              <w:jc w:val="right"/>
              <w:rPr>
                <w:rFonts w:ascii="Arial" w:hAnsi="Arial" w:cs="Arial"/>
                <w:sz w:val="24"/>
                <w:szCs w:val="24"/>
              </w:rPr>
            </w:pPr>
            <w:r w:rsidRPr="00A450E6">
              <w:rPr>
                <w:rFonts w:ascii="Arial" w:hAnsi="Arial" w:cs="Arial"/>
                <w:sz w:val="24"/>
                <w:szCs w:val="24"/>
              </w:rPr>
              <w:t>…</w:t>
            </w:r>
          </w:p>
        </w:tc>
      </w:tr>
      <w:tr w:rsidR="000C61E1" w:rsidRPr="00A450E6" w14:paraId="20A4C38C" w14:textId="77777777" w:rsidTr="008A628B">
        <w:tc>
          <w:tcPr>
            <w:tcW w:w="5807" w:type="dxa"/>
          </w:tcPr>
          <w:p w14:paraId="3CD37020" w14:textId="77777777" w:rsidR="000C61E1" w:rsidRPr="00A450E6" w:rsidRDefault="000C61E1" w:rsidP="008A628B">
            <w:pPr>
              <w:spacing w:line="360" w:lineRule="auto"/>
              <w:jc w:val="both"/>
              <w:rPr>
                <w:rFonts w:ascii="Arial" w:hAnsi="Arial" w:cs="Arial"/>
                <w:sz w:val="24"/>
                <w:szCs w:val="24"/>
              </w:rPr>
            </w:pPr>
            <w:r w:rsidRPr="00A450E6">
              <w:rPr>
                <w:rFonts w:ascii="Arial" w:hAnsi="Arial" w:cs="Arial"/>
                <w:sz w:val="24"/>
                <w:szCs w:val="24"/>
              </w:rPr>
              <w:t>Ingresos derivados de financiamientos</w:t>
            </w:r>
          </w:p>
        </w:tc>
        <w:tc>
          <w:tcPr>
            <w:tcW w:w="425" w:type="dxa"/>
          </w:tcPr>
          <w:p w14:paraId="16813EB0" w14:textId="77777777" w:rsidR="000C61E1" w:rsidRPr="00A450E6" w:rsidRDefault="000C61E1" w:rsidP="008A628B">
            <w:pPr>
              <w:spacing w:line="360" w:lineRule="auto"/>
              <w:jc w:val="both"/>
              <w:rPr>
                <w:rFonts w:ascii="Arial" w:hAnsi="Arial" w:cs="Arial"/>
                <w:sz w:val="24"/>
                <w:szCs w:val="24"/>
              </w:rPr>
            </w:pPr>
            <w:r w:rsidRPr="00A450E6">
              <w:rPr>
                <w:rFonts w:ascii="Arial" w:hAnsi="Arial" w:cs="Arial"/>
                <w:sz w:val="24"/>
                <w:szCs w:val="24"/>
              </w:rPr>
              <w:t>$</w:t>
            </w:r>
          </w:p>
        </w:tc>
        <w:tc>
          <w:tcPr>
            <w:tcW w:w="2596" w:type="dxa"/>
          </w:tcPr>
          <w:p w14:paraId="774EAF37" w14:textId="77777777" w:rsidR="000C61E1" w:rsidRPr="00A450E6" w:rsidRDefault="000C61E1" w:rsidP="008A628B">
            <w:pPr>
              <w:spacing w:line="360" w:lineRule="auto"/>
              <w:jc w:val="right"/>
              <w:rPr>
                <w:rFonts w:ascii="Arial" w:hAnsi="Arial" w:cs="Arial"/>
                <w:sz w:val="24"/>
                <w:szCs w:val="24"/>
              </w:rPr>
            </w:pPr>
            <w:r w:rsidRPr="00A450E6">
              <w:rPr>
                <w:rFonts w:ascii="Arial" w:hAnsi="Arial" w:cs="Arial"/>
                <w:sz w:val="24"/>
                <w:szCs w:val="24"/>
              </w:rPr>
              <w:t>8,174,846.00</w:t>
            </w:r>
          </w:p>
        </w:tc>
      </w:tr>
      <w:tr w:rsidR="000C61E1" w:rsidRPr="00A450E6" w14:paraId="0960321E" w14:textId="77777777" w:rsidTr="008A628B">
        <w:tc>
          <w:tcPr>
            <w:tcW w:w="5807" w:type="dxa"/>
          </w:tcPr>
          <w:p w14:paraId="6BEEA15B" w14:textId="77777777" w:rsidR="000C61E1" w:rsidRPr="00A450E6" w:rsidRDefault="000C61E1" w:rsidP="008A628B">
            <w:pPr>
              <w:spacing w:line="360" w:lineRule="auto"/>
              <w:jc w:val="both"/>
              <w:rPr>
                <w:rFonts w:ascii="Arial" w:hAnsi="Arial" w:cs="Arial"/>
                <w:sz w:val="24"/>
                <w:szCs w:val="24"/>
              </w:rPr>
            </w:pPr>
            <w:r w:rsidRPr="00A450E6">
              <w:rPr>
                <w:rFonts w:ascii="Arial" w:hAnsi="Arial" w:cs="Arial"/>
                <w:sz w:val="24"/>
                <w:szCs w:val="24"/>
              </w:rPr>
              <w:t>…</w:t>
            </w:r>
          </w:p>
        </w:tc>
        <w:tc>
          <w:tcPr>
            <w:tcW w:w="425" w:type="dxa"/>
          </w:tcPr>
          <w:p w14:paraId="3CB1158C" w14:textId="77777777" w:rsidR="000C61E1" w:rsidRPr="00A450E6" w:rsidRDefault="000C61E1" w:rsidP="008A628B">
            <w:pPr>
              <w:spacing w:line="360" w:lineRule="auto"/>
              <w:jc w:val="both"/>
              <w:rPr>
                <w:rFonts w:ascii="Arial" w:hAnsi="Arial" w:cs="Arial"/>
                <w:sz w:val="24"/>
                <w:szCs w:val="24"/>
              </w:rPr>
            </w:pPr>
            <w:r w:rsidRPr="00A450E6">
              <w:rPr>
                <w:rFonts w:ascii="Arial" w:hAnsi="Arial" w:cs="Arial"/>
                <w:sz w:val="24"/>
                <w:szCs w:val="24"/>
              </w:rPr>
              <w:t>$</w:t>
            </w:r>
          </w:p>
        </w:tc>
        <w:tc>
          <w:tcPr>
            <w:tcW w:w="2596" w:type="dxa"/>
          </w:tcPr>
          <w:p w14:paraId="70946E81" w14:textId="77777777" w:rsidR="000C61E1" w:rsidRPr="00A450E6" w:rsidRDefault="000C61E1" w:rsidP="008A628B">
            <w:pPr>
              <w:spacing w:line="360" w:lineRule="auto"/>
              <w:jc w:val="right"/>
              <w:rPr>
                <w:rFonts w:ascii="Arial" w:hAnsi="Arial" w:cs="Arial"/>
                <w:sz w:val="24"/>
                <w:szCs w:val="24"/>
              </w:rPr>
            </w:pPr>
            <w:r w:rsidRPr="00A450E6">
              <w:rPr>
                <w:rFonts w:ascii="Arial" w:hAnsi="Arial" w:cs="Arial"/>
                <w:sz w:val="24"/>
                <w:szCs w:val="24"/>
              </w:rPr>
              <w:t>…</w:t>
            </w:r>
          </w:p>
        </w:tc>
      </w:tr>
    </w:tbl>
    <w:p w14:paraId="4A6F6810" w14:textId="77777777" w:rsidR="000C61E1" w:rsidRPr="00A450E6" w:rsidRDefault="000C61E1" w:rsidP="000C61E1">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5807"/>
        <w:gridCol w:w="3021"/>
      </w:tblGrid>
      <w:tr w:rsidR="000C61E1" w:rsidRPr="00A450E6" w14:paraId="796C96A2" w14:textId="77777777" w:rsidTr="008A628B">
        <w:tc>
          <w:tcPr>
            <w:tcW w:w="5807" w:type="dxa"/>
          </w:tcPr>
          <w:p w14:paraId="2EF80C60" w14:textId="77777777" w:rsidR="000C61E1" w:rsidRPr="00A450E6" w:rsidRDefault="000C61E1" w:rsidP="008A628B">
            <w:pPr>
              <w:spacing w:line="360" w:lineRule="auto"/>
              <w:jc w:val="both"/>
              <w:rPr>
                <w:rFonts w:ascii="Arial" w:hAnsi="Arial" w:cs="Arial"/>
                <w:b/>
                <w:sz w:val="24"/>
                <w:szCs w:val="24"/>
              </w:rPr>
            </w:pPr>
            <w:r w:rsidRPr="00A450E6">
              <w:rPr>
                <w:rFonts w:ascii="Arial" w:hAnsi="Arial" w:cs="Arial"/>
                <w:b/>
                <w:sz w:val="24"/>
                <w:szCs w:val="24"/>
              </w:rPr>
              <w:t>TOTAL DE INGRESOS QUE EL MUNICIPIO DE TEMAX YUCATÁN PERCIBIRÁ DURANTE EL EJERCICIO FISCAL 2022, ASCENDERÁ A:</w:t>
            </w:r>
          </w:p>
        </w:tc>
        <w:tc>
          <w:tcPr>
            <w:tcW w:w="3021" w:type="dxa"/>
          </w:tcPr>
          <w:p w14:paraId="7CFF7B30" w14:textId="77777777" w:rsidR="000C61E1" w:rsidRPr="00A450E6" w:rsidRDefault="000C61E1" w:rsidP="008A628B">
            <w:pPr>
              <w:spacing w:line="360" w:lineRule="auto"/>
              <w:jc w:val="both"/>
              <w:rPr>
                <w:rFonts w:ascii="Arial" w:hAnsi="Arial" w:cs="Arial"/>
                <w:b/>
                <w:sz w:val="24"/>
                <w:szCs w:val="24"/>
              </w:rPr>
            </w:pPr>
          </w:p>
          <w:p w14:paraId="7025E91B" w14:textId="77777777" w:rsidR="000C61E1" w:rsidRPr="00A450E6" w:rsidRDefault="000C61E1" w:rsidP="008A628B">
            <w:pPr>
              <w:spacing w:line="360" w:lineRule="auto"/>
              <w:jc w:val="center"/>
              <w:rPr>
                <w:rFonts w:ascii="Arial" w:hAnsi="Arial" w:cs="Arial"/>
                <w:b/>
                <w:sz w:val="24"/>
                <w:szCs w:val="24"/>
              </w:rPr>
            </w:pPr>
            <w:r w:rsidRPr="00A450E6">
              <w:rPr>
                <w:rFonts w:ascii="Arial" w:hAnsi="Arial" w:cs="Arial"/>
                <w:b/>
                <w:sz w:val="24"/>
                <w:szCs w:val="24"/>
              </w:rPr>
              <w:t>$ 42,819,014.00</w:t>
            </w:r>
          </w:p>
        </w:tc>
      </w:tr>
    </w:tbl>
    <w:p w14:paraId="55DBBF5C" w14:textId="77777777" w:rsidR="000C61E1" w:rsidRPr="00A450E6" w:rsidRDefault="000C61E1" w:rsidP="000C61E1">
      <w:pPr>
        <w:spacing w:line="360" w:lineRule="auto"/>
        <w:jc w:val="both"/>
        <w:rPr>
          <w:rFonts w:ascii="Arial" w:hAnsi="Arial" w:cs="Arial"/>
          <w:sz w:val="24"/>
          <w:szCs w:val="24"/>
        </w:rPr>
      </w:pPr>
    </w:p>
    <w:p w14:paraId="6A4905A9" w14:textId="77777777" w:rsidR="000C61E1" w:rsidRPr="00A450E6" w:rsidRDefault="000C61E1" w:rsidP="000C61E1">
      <w:pPr>
        <w:spacing w:line="360" w:lineRule="auto"/>
        <w:jc w:val="center"/>
        <w:rPr>
          <w:rFonts w:ascii="Arial" w:hAnsi="Arial" w:cs="Arial"/>
          <w:b/>
          <w:sz w:val="24"/>
          <w:szCs w:val="24"/>
        </w:rPr>
      </w:pPr>
      <w:r w:rsidRPr="00A450E6">
        <w:rPr>
          <w:rFonts w:ascii="Arial" w:hAnsi="Arial" w:cs="Arial"/>
          <w:b/>
          <w:sz w:val="24"/>
          <w:szCs w:val="24"/>
        </w:rPr>
        <w:t>Transitorios</w:t>
      </w:r>
    </w:p>
    <w:p w14:paraId="0E6B0B0D" w14:textId="77777777" w:rsidR="000C61E1" w:rsidRPr="00A450E6" w:rsidRDefault="000C61E1" w:rsidP="000C61E1">
      <w:pPr>
        <w:spacing w:line="360" w:lineRule="auto"/>
        <w:jc w:val="both"/>
        <w:rPr>
          <w:rFonts w:ascii="Arial" w:hAnsi="Arial" w:cs="Arial"/>
          <w:sz w:val="24"/>
          <w:szCs w:val="24"/>
        </w:rPr>
      </w:pPr>
      <w:r w:rsidRPr="00A450E6">
        <w:rPr>
          <w:rFonts w:ascii="Arial" w:hAnsi="Arial" w:cs="Arial"/>
          <w:b/>
          <w:sz w:val="24"/>
          <w:szCs w:val="24"/>
        </w:rPr>
        <w:t>Artículo Primero.</w:t>
      </w:r>
      <w:r w:rsidRPr="00A450E6">
        <w:rPr>
          <w:rFonts w:ascii="Arial" w:hAnsi="Arial" w:cs="Arial"/>
          <w:sz w:val="24"/>
          <w:szCs w:val="24"/>
        </w:rPr>
        <w:t xml:space="preserve"> La reforma a la Ley de Ingresos del Municipio de Temax, Yucatán, para el Ejercicio Fiscal 2022, entrará en vigor al día siguiente al de su publicación en el Diario Oficial del Gobierno del Estado de Yucatán, y tendrá vigencia hasta el treinta y uno de diciembre del año dos mil veintidós.</w:t>
      </w:r>
    </w:p>
    <w:p w14:paraId="3B939F5B" w14:textId="77777777" w:rsidR="000C61E1" w:rsidRPr="00A450E6" w:rsidRDefault="000C61E1" w:rsidP="000C61E1">
      <w:pPr>
        <w:spacing w:line="360" w:lineRule="auto"/>
        <w:jc w:val="both"/>
        <w:rPr>
          <w:rFonts w:ascii="Arial" w:hAnsi="Arial" w:cs="Arial"/>
          <w:sz w:val="24"/>
          <w:szCs w:val="24"/>
        </w:rPr>
      </w:pPr>
    </w:p>
    <w:p w14:paraId="2955314A" w14:textId="12731EA2" w:rsidR="00A450E6" w:rsidRDefault="00A450E6" w:rsidP="00A450E6">
      <w:pPr>
        <w:spacing w:line="360" w:lineRule="auto"/>
        <w:jc w:val="both"/>
        <w:rPr>
          <w:rFonts w:ascii="Arial" w:hAnsi="Arial" w:cs="Arial"/>
          <w:sz w:val="24"/>
          <w:szCs w:val="24"/>
        </w:rPr>
      </w:pPr>
      <w:r w:rsidRPr="00CD1FED">
        <w:rPr>
          <w:rFonts w:ascii="Arial" w:hAnsi="Arial" w:cs="Arial"/>
          <w:b/>
          <w:sz w:val="24"/>
          <w:szCs w:val="24"/>
        </w:rPr>
        <w:t>Artículo Segundo.</w:t>
      </w:r>
      <w:r w:rsidRPr="00CD1FED">
        <w:rPr>
          <w:rFonts w:ascii="Arial" w:hAnsi="Arial" w:cs="Arial"/>
          <w:sz w:val="24"/>
          <w:szCs w:val="24"/>
        </w:rPr>
        <w:t xml:space="preserve"> </w:t>
      </w:r>
      <w:r w:rsidRPr="003C3FC6">
        <w:rPr>
          <w:rFonts w:ascii="Arial" w:hAnsi="Arial" w:cs="Arial"/>
          <w:sz w:val="24"/>
          <w:szCs w:val="24"/>
        </w:rPr>
        <w:t xml:space="preserve">El </w:t>
      </w:r>
      <w:r w:rsidR="003D5360">
        <w:rPr>
          <w:rFonts w:ascii="Arial" w:hAnsi="Arial" w:cs="Arial"/>
          <w:sz w:val="24"/>
          <w:szCs w:val="24"/>
        </w:rPr>
        <w:t xml:space="preserve">monto adicional autorizado en la </w:t>
      </w:r>
      <w:r w:rsidR="003D5360" w:rsidRPr="00CD1FED">
        <w:rPr>
          <w:rFonts w:ascii="Arial" w:hAnsi="Arial" w:cs="Arial"/>
          <w:sz w:val="24"/>
          <w:szCs w:val="24"/>
        </w:rPr>
        <w:t xml:space="preserve">Ley de Ingresos del Municipio de </w:t>
      </w:r>
      <w:r w:rsidR="003D5360">
        <w:rPr>
          <w:rFonts w:ascii="Arial" w:hAnsi="Arial" w:cs="Arial"/>
          <w:sz w:val="24"/>
          <w:szCs w:val="24"/>
        </w:rPr>
        <w:t>Temax</w:t>
      </w:r>
      <w:r w:rsidR="003D5360" w:rsidRPr="00CD1FED">
        <w:rPr>
          <w:rFonts w:ascii="Arial" w:hAnsi="Arial" w:cs="Arial"/>
          <w:sz w:val="24"/>
          <w:szCs w:val="24"/>
        </w:rPr>
        <w:t>, Yucatán, para el Ejercicio Fiscal 2022</w:t>
      </w:r>
      <w:r w:rsidR="003D5360">
        <w:rPr>
          <w:rFonts w:ascii="Arial" w:hAnsi="Arial" w:cs="Arial"/>
          <w:sz w:val="24"/>
          <w:szCs w:val="24"/>
        </w:rPr>
        <w:t xml:space="preserve">, </w:t>
      </w:r>
      <w:r w:rsidRPr="003C3FC6">
        <w:rPr>
          <w:rFonts w:ascii="Arial" w:hAnsi="Arial" w:cs="Arial"/>
          <w:sz w:val="24"/>
          <w:szCs w:val="24"/>
        </w:rPr>
        <w:t>será considerado ingreso extraordinario por financiamiento o deuda pública en dicho ejercicio fiscal, el cual, inclusive podrá</w:t>
      </w:r>
      <w:r>
        <w:rPr>
          <w:rFonts w:ascii="Arial" w:hAnsi="Arial" w:cs="Arial"/>
          <w:sz w:val="24"/>
          <w:szCs w:val="24"/>
        </w:rPr>
        <w:t xml:space="preserve"> ser</w:t>
      </w:r>
      <w:r w:rsidRPr="003C3FC6">
        <w:rPr>
          <w:rFonts w:ascii="Arial" w:hAnsi="Arial" w:cs="Arial"/>
          <w:sz w:val="24"/>
          <w:szCs w:val="24"/>
        </w:rPr>
        <w:t xml:space="preserve"> </w:t>
      </w:r>
      <w:r>
        <w:rPr>
          <w:rFonts w:ascii="Arial" w:hAnsi="Arial" w:cs="Arial"/>
          <w:sz w:val="24"/>
          <w:szCs w:val="24"/>
        </w:rPr>
        <w:t>formalizado en un monto menor por el Municipio de Temax, Yucatán</w:t>
      </w:r>
      <w:r w:rsidR="00D372D6">
        <w:rPr>
          <w:rFonts w:ascii="Arial" w:hAnsi="Arial" w:cs="Arial"/>
          <w:sz w:val="24"/>
          <w:szCs w:val="24"/>
        </w:rPr>
        <w:t>, lo cual deberá ser informado en la cuenta pública anual</w:t>
      </w:r>
      <w:r>
        <w:rPr>
          <w:rFonts w:ascii="Arial" w:hAnsi="Arial" w:cs="Arial"/>
          <w:sz w:val="24"/>
          <w:szCs w:val="24"/>
        </w:rPr>
        <w:t>.</w:t>
      </w:r>
    </w:p>
    <w:p w14:paraId="4450A572" w14:textId="77777777" w:rsidR="00A450E6" w:rsidRDefault="00A450E6" w:rsidP="00A450E6">
      <w:pPr>
        <w:spacing w:line="360" w:lineRule="auto"/>
        <w:jc w:val="both"/>
        <w:rPr>
          <w:rFonts w:ascii="Arial" w:hAnsi="Arial" w:cs="Arial"/>
          <w:b/>
          <w:sz w:val="24"/>
          <w:szCs w:val="24"/>
        </w:rPr>
      </w:pPr>
    </w:p>
    <w:p w14:paraId="64E7DDC7" w14:textId="77777777" w:rsidR="00A450E6" w:rsidRPr="00CD1FED" w:rsidRDefault="00A450E6" w:rsidP="00A450E6">
      <w:pPr>
        <w:spacing w:line="360" w:lineRule="auto"/>
        <w:jc w:val="both"/>
        <w:rPr>
          <w:rFonts w:ascii="Arial" w:hAnsi="Arial" w:cs="Arial"/>
          <w:sz w:val="24"/>
          <w:szCs w:val="24"/>
        </w:rPr>
      </w:pPr>
      <w:r w:rsidRPr="0009348E">
        <w:rPr>
          <w:rFonts w:ascii="Arial" w:hAnsi="Arial" w:cs="Arial"/>
          <w:b/>
          <w:sz w:val="24"/>
          <w:szCs w:val="24"/>
        </w:rPr>
        <w:t>Artículo Tercero.</w:t>
      </w:r>
      <w:r>
        <w:rPr>
          <w:rFonts w:ascii="Arial" w:hAnsi="Arial" w:cs="Arial"/>
          <w:sz w:val="24"/>
          <w:szCs w:val="24"/>
        </w:rPr>
        <w:t xml:space="preserve"> </w:t>
      </w:r>
      <w:r w:rsidRPr="00CD1FED">
        <w:rPr>
          <w:rFonts w:ascii="Arial" w:hAnsi="Arial" w:cs="Arial"/>
          <w:sz w:val="24"/>
          <w:szCs w:val="24"/>
        </w:rPr>
        <w:t>Se derogan las disposiciones que se opongan al contenido del presente Decreto.</w:t>
      </w:r>
    </w:p>
    <w:p w14:paraId="2E34138E" w14:textId="77777777" w:rsidR="00A450E6" w:rsidRPr="00CD1FED" w:rsidRDefault="00A450E6" w:rsidP="00A450E6">
      <w:pPr>
        <w:rPr>
          <w:rFonts w:ascii="Arial" w:hAnsi="Arial" w:cs="Arial"/>
        </w:rPr>
      </w:pPr>
    </w:p>
    <w:p w14:paraId="1EDEF685" w14:textId="77777777" w:rsidR="00E30FD2" w:rsidRPr="00A450E6" w:rsidRDefault="00E30FD2">
      <w:pPr>
        <w:rPr>
          <w:rFonts w:ascii="Arial" w:hAnsi="Arial" w:cs="Arial"/>
        </w:rPr>
      </w:pPr>
    </w:p>
    <w:sectPr w:rsidR="00E30FD2" w:rsidRPr="00A450E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73EA3" w14:textId="77777777" w:rsidR="00CD33DF" w:rsidRDefault="00CD33DF" w:rsidP="00D372D6">
      <w:r>
        <w:separator/>
      </w:r>
    </w:p>
  </w:endnote>
  <w:endnote w:type="continuationSeparator" w:id="0">
    <w:p w14:paraId="2AD03737" w14:textId="77777777" w:rsidR="00CD33DF" w:rsidRDefault="00CD33DF" w:rsidP="00D3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106DB" w14:textId="77777777" w:rsidR="00CD33DF" w:rsidRDefault="00CD33DF" w:rsidP="00D372D6">
      <w:r>
        <w:separator/>
      </w:r>
    </w:p>
  </w:footnote>
  <w:footnote w:type="continuationSeparator" w:id="0">
    <w:p w14:paraId="524E5652" w14:textId="77777777" w:rsidR="00CD33DF" w:rsidRDefault="00CD33DF" w:rsidP="00D37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E1"/>
    <w:rsid w:val="00055B89"/>
    <w:rsid w:val="000C61E1"/>
    <w:rsid w:val="0012757C"/>
    <w:rsid w:val="002F1722"/>
    <w:rsid w:val="003D5360"/>
    <w:rsid w:val="00415043"/>
    <w:rsid w:val="00583483"/>
    <w:rsid w:val="005F6F7E"/>
    <w:rsid w:val="006934DD"/>
    <w:rsid w:val="006F5AAD"/>
    <w:rsid w:val="00771848"/>
    <w:rsid w:val="0077507B"/>
    <w:rsid w:val="008219BA"/>
    <w:rsid w:val="008D58E7"/>
    <w:rsid w:val="009273BA"/>
    <w:rsid w:val="00965644"/>
    <w:rsid w:val="009B5D13"/>
    <w:rsid w:val="00A13DA6"/>
    <w:rsid w:val="00A450E6"/>
    <w:rsid w:val="00AF0B2D"/>
    <w:rsid w:val="00AF3D57"/>
    <w:rsid w:val="00BE240C"/>
    <w:rsid w:val="00CD33DF"/>
    <w:rsid w:val="00D372D6"/>
    <w:rsid w:val="00E30FD2"/>
    <w:rsid w:val="00E82359"/>
    <w:rsid w:val="00F0200F"/>
    <w:rsid w:val="00FF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DF45"/>
  <w15:chartTrackingRefBased/>
  <w15:docId w15:val="{4F73A422-4A1F-4E00-A8D9-4A52E348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1E1"/>
    <w:pPr>
      <w:spacing w:after="0" w:line="240" w:lineRule="auto"/>
    </w:pPr>
    <w:rPr>
      <w:rFonts w:ascii="Calibri" w:eastAsia="Times New Roman"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61E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0B2D"/>
    <w:rPr>
      <w:rFonts w:ascii="Segoe UI" w:eastAsia="Times New Roman" w:hAnsi="Segoe UI" w:cs="Segoe UI"/>
      <w:sz w:val="18"/>
      <w:szCs w:val="18"/>
      <w:lang w:val="es-MX"/>
    </w:rPr>
  </w:style>
  <w:style w:type="character" w:styleId="Refdecomentario">
    <w:name w:val="annotation reference"/>
    <w:basedOn w:val="Fuentedeprrafopredeter"/>
    <w:uiPriority w:val="99"/>
    <w:semiHidden/>
    <w:unhideWhenUsed/>
    <w:rsid w:val="008D58E7"/>
    <w:rPr>
      <w:sz w:val="16"/>
      <w:szCs w:val="16"/>
    </w:rPr>
  </w:style>
  <w:style w:type="paragraph" w:styleId="Textocomentario">
    <w:name w:val="annotation text"/>
    <w:basedOn w:val="Normal"/>
    <w:link w:val="TextocomentarioCar"/>
    <w:uiPriority w:val="99"/>
    <w:semiHidden/>
    <w:unhideWhenUsed/>
    <w:rsid w:val="008D58E7"/>
    <w:rPr>
      <w:sz w:val="20"/>
      <w:szCs w:val="20"/>
    </w:rPr>
  </w:style>
  <w:style w:type="character" w:customStyle="1" w:styleId="TextocomentarioCar">
    <w:name w:val="Texto comentario Car"/>
    <w:basedOn w:val="Fuentedeprrafopredeter"/>
    <w:link w:val="Textocomentario"/>
    <w:uiPriority w:val="99"/>
    <w:semiHidden/>
    <w:rsid w:val="008D58E7"/>
    <w:rPr>
      <w:rFonts w:ascii="Calibri" w:eastAsia="Times New Roman" w:hAnsi="Calibri" w:cs="Times New Roman"/>
      <w:sz w:val="20"/>
      <w:szCs w:val="20"/>
      <w:lang w:val="es-MX"/>
    </w:rPr>
  </w:style>
  <w:style w:type="paragraph" w:styleId="Encabezado">
    <w:name w:val="header"/>
    <w:basedOn w:val="Normal"/>
    <w:link w:val="EncabezadoCar"/>
    <w:uiPriority w:val="99"/>
    <w:unhideWhenUsed/>
    <w:rsid w:val="00D372D6"/>
    <w:pPr>
      <w:tabs>
        <w:tab w:val="center" w:pos="4419"/>
        <w:tab w:val="right" w:pos="8838"/>
      </w:tabs>
    </w:pPr>
  </w:style>
  <w:style w:type="character" w:customStyle="1" w:styleId="EncabezadoCar">
    <w:name w:val="Encabezado Car"/>
    <w:basedOn w:val="Fuentedeprrafopredeter"/>
    <w:link w:val="Encabezado"/>
    <w:uiPriority w:val="99"/>
    <w:rsid w:val="00D372D6"/>
    <w:rPr>
      <w:rFonts w:ascii="Calibri" w:eastAsia="Times New Roman" w:hAnsi="Calibri" w:cs="Times New Roman"/>
      <w:lang w:val="es-MX"/>
    </w:rPr>
  </w:style>
  <w:style w:type="paragraph" w:styleId="Piedepgina">
    <w:name w:val="footer"/>
    <w:basedOn w:val="Normal"/>
    <w:link w:val="PiedepginaCar"/>
    <w:uiPriority w:val="99"/>
    <w:unhideWhenUsed/>
    <w:rsid w:val="00D372D6"/>
    <w:pPr>
      <w:tabs>
        <w:tab w:val="center" w:pos="4419"/>
        <w:tab w:val="right" w:pos="8838"/>
      </w:tabs>
    </w:pPr>
  </w:style>
  <w:style w:type="character" w:customStyle="1" w:styleId="PiedepginaCar">
    <w:name w:val="Pie de página Car"/>
    <w:basedOn w:val="Fuentedeprrafopredeter"/>
    <w:link w:val="Piedepgina"/>
    <w:uiPriority w:val="99"/>
    <w:rsid w:val="00D372D6"/>
    <w:rPr>
      <w:rFonts w:ascii="Calibri" w:eastAsia="Times New Roman"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5499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Herrera</dc:creator>
  <cp:keywords/>
  <dc:description/>
  <cp:lastModifiedBy>Mildred Manzanilla</cp:lastModifiedBy>
  <cp:revision>2</cp:revision>
  <dcterms:created xsi:type="dcterms:W3CDTF">2022-06-01T19:59:00Z</dcterms:created>
  <dcterms:modified xsi:type="dcterms:W3CDTF">2022-06-01T19:59:00Z</dcterms:modified>
</cp:coreProperties>
</file>